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Tjelesni i zdravstveni odgoj 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A151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A151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/>
                <w:b/>
                <w:sz w:val="18"/>
                <w:szCs w:val="18"/>
              </w:rPr>
              <w:t xml:space="preserve"> Ovjeren prvi i upisan drugi semestar prve godine prvog ciklusa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tjelesnog i zdravstvenog odgoja u visokom obrazovanju je: 1. učenje novih motoričkih znanja, 2. usavršavanje osnovnih teorijskih i praktičnih motoričkih znanja, 3. sprečavanje procesa deterioracije ili preranog smanjivanja nivoa osobina i sposobnosti uslijed nedovoljne tjelesne     aktivnosti, 4. osposobljavanje studenata za individualno tjelesno </w:t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vježbanje i racionalno, sadržajno korištenje i provođenje     slobodnog vremena, 5. promovisanje tjelovježbene i sportske kulture, 6. pomoć kvalitetnom životu u mladosti, zrelosti i starosti.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Razumjeti smisao kineziološkog praktičnog obrazovanja u tjelesnom i zdravstvenom odgojno-obrazovnom području.</w:t>
            </w:r>
          </w:p>
          <w:p w:rsidR="00CB72ED" w:rsidRPr="00B96B4F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Studenti će steći teorijska znanja o pravilima i sportskim  takmičenjima i usavršiti osnovne elemente tehnike i taktike izabrane sportske igre kao i dobiti upute  na održavanje i unapređenje pojedinih antropoloških obilježja.  Informisanjem o značaju svakodnevnog tjelesnog vježbanja, pravilnoj prehrani, ličnoj higijeni, sportskoj odjeći i obući i ponašanju na sportskim terenima, odgojno se može uticati na formiranje navike vježbanja u svrhu unapređenja zdravlja i kvaliteta života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Program tjelesnog i zdravstvenog odgoja na Univerzitetu u Tuzli podijeljen je na nekoliko nastavnih programa kojima je zajednička karakteristika izbor kineziološke aktivnosti tokom akademske godine.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Konceptualno ovaj nastavni program nadovezuje se na programske sadržaje nastave tjelesnog i zdravstvenog odgoja u srednjoj školi.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Za njih se studenti opredjeljuju s obzirom na interes, stepen usvojenosti motoričkih znanja, nivo sposobnosti i prema stanju zdravlja.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U okviru nastavnog predmeta studenti se na početku semestra opredjeljuju za ponuđeni nastavni program koji su obavezni pohađati u drugom semestru.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To su sljedeći programi: Košarka, Nogomet, Odbojka, Aerobik, Fitness, Stolni tenis, Samoodbrana, Pješačenje u prirodi, Akrobatika, Sportsko penjanje, Rukomet, Plesovi, Karate, Tee-bo, Badminton, Tenis i Šah.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Program za koji se student opredijelio u prvom semestru ne obavezuje ga da isti pohađa u drugom semestru (može nastaviti isti ili izabrati i pohađati neki drugi od ponuđenih).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predmeta i kompetencija studenata tokom  i na kraju semestra na predmetu  su planirane aktivnosti uspješnog učenja: konkretno iskustvo, posmatranje i aktivno eksperimentisanje. Stilovi učenja zastupljeni na nastavi: vizuelni, auditivni, kinestetički, a nastavne metode: Teorijsko – praktična nastava (vježbe).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Provjera znanja i vještina provoditi će se tokom rada sa studentima  (redovnost i aktivnost na nastavi) u toku prvog semestra - 30 sati (15 dolazaka).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Kon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čna ocjena se formira u odnosu na ukupan broj dolazaka na nastavu u toku drugog semestra.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Da bi student kolokvirao mora da prisustvuje (aktivno učestvuje) najmanje na 2/3 ukupne nastave (20 nastavni sati).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U slučaju da ne ispuni ovaj kriterij propuštenu nastavu dužan je nadoknaditi u naknadno utvrđenim terminima.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Za uspješno ovladavanje programskim sadržajima iz ovog predmeta dobiva konačnu ocjenu  "KOLOKVIRAO"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Bodovi          Ocjena       Ocjena ETSC</w:t>
            </w:r>
          </w:p>
          <w:p w:rsidR="00CB72ED" w:rsidRPr="00B96B4F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&lt;55                   5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C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C5BB4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4C5BB4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F2DD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C5BB4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4C5BB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4C5BB4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512" w:rsidRDefault="007A1512">
      <w:pPr>
        <w:spacing w:line="240" w:lineRule="auto"/>
      </w:pPr>
      <w:r>
        <w:separator/>
      </w:r>
    </w:p>
  </w:endnote>
  <w:endnote w:type="continuationSeparator" w:id="0">
    <w:p w:rsidR="007A1512" w:rsidRDefault="007A15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5BB4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5BB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C5BB4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512" w:rsidRDefault="007A1512">
      <w:pPr>
        <w:spacing w:after="0"/>
      </w:pPr>
      <w:r>
        <w:separator/>
      </w:r>
    </w:p>
  </w:footnote>
  <w:footnote w:type="continuationSeparator" w:id="0">
    <w:p w:rsidR="007A1512" w:rsidRDefault="007A15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1EC1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5BB4"/>
    <w:rsid w:val="004D51F3"/>
    <w:rsid w:val="004D6351"/>
    <w:rsid w:val="004E0BE5"/>
    <w:rsid w:val="004E1673"/>
    <w:rsid w:val="004E16DE"/>
    <w:rsid w:val="004E2321"/>
    <w:rsid w:val="004E5C03"/>
    <w:rsid w:val="004F231E"/>
    <w:rsid w:val="004F24AC"/>
    <w:rsid w:val="004F510D"/>
    <w:rsid w:val="004F5938"/>
    <w:rsid w:val="0050707F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2D12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0FB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1512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DDF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4B2"/>
    <w:rsid w:val="00BB0FE3"/>
    <w:rsid w:val="00BB2187"/>
    <w:rsid w:val="00BB2664"/>
    <w:rsid w:val="00BB7623"/>
    <w:rsid w:val="00BC5D4A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A895A-9240-43E7-8EFE-C17D3C02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013F9-AC32-4006-A3DC-43385FF5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2026-03-06T08:02:00Z</dcterms:created>
  <dcterms:modified xsi:type="dcterms:W3CDTF">2026-03-12T09:14:00Z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